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rPr>
          <w:rFonts w:ascii="Verdana" w:cs="Verdana" w:hAnsi="Verdana" w:eastAsia="Verdana"/>
          <w:u w:val="single"/>
        </w:rPr>
      </w:pPr>
    </w:p>
    <w:p>
      <w:pPr>
        <w:pStyle w:val="Body"/>
        <w:spacing w:after="240"/>
        <w:jc w:val="center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en-US"/>
        </w:rPr>
        <w:t>Short Bio</w:t>
      </w:r>
    </w:p>
    <w:p>
      <w:pPr>
        <w:pStyle w:val="Body"/>
        <w:spacing w:after="24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240"/>
      </w:pPr>
      <w:r>
        <w:rPr>
          <w:rFonts w:ascii="Times New Roman" w:hAnsi="Times New Roman"/>
          <w:sz w:val="20"/>
          <w:szCs w:val="20"/>
          <w:rtl w:val="0"/>
          <w:lang w:val="es-ES_tradnl"/>
        </w:rPr>
        <w:t>Cameron O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Connor, whose playing has been described as </w:t>
      </w:r>
      <w:r>
        <w:rPr>
          <w:rFonts w:ascii="Times New Roman" w:hAnsi="Times New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stunning and emotive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Eugene Register-Guard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), enjoys a diverse career in solo, chamber, contemporary, and popular music. Recent and upcoming highlights include solo and duo recitals throughout Japan; performing as a guest artist at the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 xml:space="preserve">Loyola Marymount, Corvallis, Siempre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la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Guitarra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and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Northwest </w:t>
      </w:r>
      <w:r>
        <w:rPr>
          <w:rFonts w:ascii="Times New Roman" w:hAnsi="Times New Roman"/>
          <w:sz w:val="20"/>
          <w:szCs w:val="20"/>
          <w:rtl w:val="0"/>
          <w:lang w:val="pt-PT"/>
        </w:rPr>
        <w:t>Guitar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Festivals; chamber music and opera appearances with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Eugene Opera and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musicians of the Oregon Symphony; as a chamber music soloist at the New World Symphony in Miami (for which the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South Florida Classical Review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noted that he was </w:t>
      </w:r>
      <w:r>
        <w:rPr>
          <w:rFonts w:ascii="Times New Roman" w:hAnsi="Times New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especially effective in the quick and diabolical figures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); appearing as a guest artist and performing duos with Sharon Isbin at the Aspen Music Festival and School; performing with Michael Tilson Thomas and the New World Symphony; and appearing under the baton of Chinese composer Tan Dun in his Eastern-tinged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Concerto for Six,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for which the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reviewed that </w:t>
      </w:r>
      <w:r>
        <w:rPr>
          <w:rFonts w:ascii="Times New Roman" w:hAnsi="Times New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Connor fluttered on his guitar strings in a manner reminiscent of a pipa player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fr-FR"/>
        </w:rPr>
        <w:t>s technique.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Additionally, O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Connor is a prizewinner in ten international competitions, including the Tokyo and Frances Walton. His performances have been featured in films, from James Franco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Don Quixote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to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Some Kind of Spark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(a documentary made on The Juilliard School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Music Advancement Program)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it-IT"/>
        </w:rPr>
        <w:t>to Scott Tennant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instructional classic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Pumping Nylon,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and on radio broadcasts such as KPFK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Global Village,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KingFM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Northwest Live!</w:t>
      </w:r>
      <w:r>
        <w:rPr>
          <w:rFonts w:ascii="Times New Roman" w:hAnsi="Times New Roman"/>
          <w:sz w:val="20"/>
          <w:szCs w:val="20"/>
          <w:rtl w:val="0"/>
        </w:rPr>
        <w:t>,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Portland All-Classical</w:t>
      </w:r>
      <w:r>
        <w:rPr>
          <w:rFonts w:ascii="Times New Roman" w:hAnsi="Times New Roman"/>
          <w:sz w:val="20"/>
          <w:szCs w:val="20"/>
          <w:rtl w:val="0"/>
          <w:lang w:val="en-US"/>
        </w:rPr>
        <w:t>, and American Public Media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Performance Today.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His articles and music are published by LACG Editions. O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Connor also performs regularly in musical theatre productions on electric guitar, banjo, and mandolin, and now serves on the faculty of Oregon State University. As a composer, O'Connor's music has gained international recognition; his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Three Northwestern Scenes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was chosen for a performance at the 21st Century Guitar Conference in Ottawa, Canada, and his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Perturbation Variations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was awarded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Outstanding Winner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at the Changsha International Guitar Festival. O</w:t>
      </w:r>
      <w:r>
        <w:rPr>
          <w:rFonts w:ascii="Times New Roman" w:hAnsi="Times New Roman" w:hint="default"/>
          <w:sz w:val="20"/>
          <w:szCs w:val="20"/>
          <w:rtl w:val="1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Connor was a full scholarship recipient at CSU Northridge, where he studied with Ron Borczon; the Juilliard School in New York City, where he studied with Sharon Isbin; and at the USC Thornton School of Music under William Kanengiser. Upon completion of that degree, the Thornton School designated him as Outstanding Doctoral Graduate. www.cameronoconnor.com</w:t>
      </w: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ig Caslon Medium">
    <w:charset w:val="00"/>
    <w:family w:val="roman"/>
    <w:pitch w:val="default"/>
  </w:font>
  <w:font w:name="Tahoma">
    <w:charset w:val="00"/>
    <w:family w:val="roman"/>
    <w:pitch w:val="default"/>
  </w:font>
  <w:font w:name="Dido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rPr>
        <w:rFonts w:ascii="Tahoma" w:hAnsi="Tahoma"/>
        <w:sz w:val="58"/>
        <w:szCs w:val="58"/>
        <w:u w:val="single"/>
      </w:rPr>
    </w:pPr>
  </w:p>
  <w:p>
    <w:pPr>
      <w:pStyle w:val="Header &amp; Footer"/>
      <w:jc w:val="center"/>
    </w:pPr>
    <w:r>
      <w:rPr>
        <w:rFonts w:ascii="Tahoma" w:hAnsi="Tahoma"/>
        <w:u w:val="none"/>
        <w:rtl w:val="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